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9"/>
        <w:keepNext w:val="0"/>
        <w:keepLines w:val="0"/>
        <w:widowControl/>
        <w:suppressLineNumbers w:val="0"/>
        <w:ind w:left="0" w:firstLine="480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</w:rPr>
        <w:t xml:space="preserve"> </w:t>
      </w:r>
    </w:p>
    <w:p>
      <w:pPr>
        <w:pStyle w:val="19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</w:rPr>
        <w:t>2022年前进区</w:t>
      </w: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政府办</w:t>
      </w:r>
      <w:r>
        <w:rPr>
          <w:rStyle w:val="12"/>
          <w:rFonts w:hint="eastAsia" w:ascii="宋体" w:hAnsi="宋体" w:eastAsia="宋体" w:cs="宋体"/>
          <w:b/>
          <w:bCs w:val="0"/>
          <w:sz w:val="36"/>
          <w:szCs w:val="36"/>
        </w:rPr>
        <w:t>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为切实保障人民群众对政府办工作的知情权、参与权和监督权，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kern w:val="0"/>
          <w:sz w:val="32"/>
          <w:szCs w:val="32"/>
        </w:rPr>
        <w:t>《中华人民共和国政府信息公开条例》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为指导，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特向社会公布佳木斯市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前进区政府办</w:t>
      </w:r>
      <w:r>
        <w:rPr>
          <w:rFonts w:hint="eastAsia" w:ascii="仿宋" w:hAnsi="仿宋" w:eastAsia="仿宋" w:cs="仿宋"/>
          <w:kern w:val="0"/>
          <w:sz w:val="32"/>
          <w:szCs w:val="32"/>
        </w:rPr>
        <w:t>2022年度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</w:rPr>
        <w:t>信息公开年度报告。报告中所列数据的统计期限自2022年1月1日至12月31日止。本年度报告电子版可在佳木斯市前进区人民政府网站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政务公开栏目下的政府信息公开年报里</w:t>
      </w:r>
      <w:r>
        <w:rPr>
          <w:rFonts w:hint="eastAsia" w:ascii="仿宋" w:hAnsi="仿宋" w:eastAsia="仿宋" w:cs="仿宋"/>
          <w:kern w:val="0"/>
          <w:sz w:val="32"/>
          <w:szCs w:val="32"/>
        </w:rPr>
        <w:t>查阅下载。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有任何疑问，请致电前进区政府办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0454-8635149。</w:t>
      </w:r>
    </w:p>
    <w:p>
      <w:pPr>
        <w:pStyle w:val="19"/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jc w:val="both"/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  <w:t>总体情况</w:t>
      </w:r>
    </w:p>
    <w:p>
      <w:pPr>
        <w:pStyle w:val="19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kern w:val="0"/>
          <w:sz w:val="32"/>
          <w:szCs w:val="32"/>
        </w:rPr>
        <w:t>结合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工作实际，积极创新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公开方式，依法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依规</w:t>
      </w:r>
      <w:r>
        <w:rPr>
          <w:rFonts w:hint="eastAsia" w:ascii="仿宋" w:hAnsi="仿宋" w:eastAsia="仿宋" w:cs="仿宋"/>
          <w:kern w:val="0"/>
          <w:sz w:val="32"/>
          <w:szCs w:val="32"/>
        </w:rPr>
        <w:t>推进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</w:rPr>
        <w:t>信息公开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，扎实提升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kern w:val="0"/>
          <w:sz w:val="32"/>
          <w:szCs w:val="32"/>
        </w:rPr>
        <w:t>质量，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本着谁公开谁负责；能公开尽公开；不能公开不予公开的原则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扎实推动政府信息公开朝更优质更便捷更高效更准确的方向发展。</w:t>
      </w:r>
    </w:p>
    <w:p>
      <w:pPr>
        <w:pStyle w:val="19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321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前进区政府办全年主动公开信息13条，其中规范性文件0个，前进区政府门户网站公开8条，前进微信公众平台推送信息数5条。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前进区政府办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未收到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。因政府信息公开申请引发行政复议0件，引发行政诉讼0件。全年依申请公开政府信息支出0元。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成立政府办政务公开工作领导小组，由政府办主任担任组长、各业务科室为成员，对政府办相关政府信息公开内容进行严格把关。二是对全员定期培训，学习最新的政务公开法律法规，对热点事件及时研讨，保障公开时效性。三是不断完善政务公开制度、健全政务工作机制、深化政务公开内容、丰富政务公开载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（四）平台建设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前进区政府办信息公开渠道为前进区政府门户网站、前进区微信公众号。凡是应主动公开的政府信息，群众可随时登录政府网站和微信公众号进行查询和了解。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断规范信息审核工作，所有政府信息需要公开的务必填写审核表并由各级主管领导把关，方能公开。同时，严格做好政务信息保密工作，专人专职，确保信息公开及时、规范、安全。为保障政务公开工作良性开展，把政务公开纳入政府绩效考核体系，建立健全政府信息公开工作考核制度、社会评议制度和责任追究制度，定期对政府信息公开工作进行考核、评议，确保政府信息公开各项工作按时按质完成。</w:t>
      </w:r>
    </w:p>
    <w:p>
      <w:pPr>
        <w:pStyle w:val="19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  <w:t>二、主动公开政府信息情况</w:t>
      </w:r>
    </w:p>
    <w:tbl>
      <w:tblPr>
        <w:tblStyle w:val="10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2111"/>
        <w:gridCol w:w="2111"/>
        <w:gridCol w:w="21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  <w:t>三、收到和处理政府信息公开申请情况</w:t>
      </w:r>
    </w:p>
    <w:tbl>
      <w:tblPr>
        <w:tblStyle w:val="10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10"/>
        <w:gridCol w:w="2356"/>
        <w:gridCol w:w="591"/>
        <w:gridCol w:w="591"/>
        <w:gridCol w:w="591"/>
        <w:gridCol w:w="591"/>
        <w:gridCol w:w="591"/>
        <w:gridCol w:w="618"/>
        <w:gridCol w:w="6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29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商业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科研</w:t>
            </w:r>
          </w:p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机构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3.其他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ind w:left="0" w:firstLine="883" w:firstLineChars="275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10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557"/>
        <w:gridCol w:w="557"/>
        <w:gridCol w:w="557"/>
        <w:gridCol w:w="590"/>
        <w:gridCol w:w="557"/>
        <w:gridCol w:w="557"/>
        <w:gridCol w:w="557"/>
        <w:gridCol w:w="557"/>
        <w:gridCol w:w="590"/>
        <w:gridCol w:w="557"/>
        <w:gridCol w:w="557"/>
        <w:gridCol w:w="557"/>
        <w:gridCol w:w="558"/>
        <w:gridCol w:w="5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审结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维持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纠正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审结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维持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纠正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审结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9"/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pStyle w:val="19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  <w:t>五、政府信息公开工作存在的主要问题及改进情况。</w:t>
      </w:r>
    </w:p>
    <w:p>
      <w:pPr>
        <w:pStyle w:val="19"/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一是政府信息公开工作业务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不够精细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</w:rPr>
        <w:t>信息公开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工作还停留在合格阶段；</w:t>
      </w:r>
      <w:r>
        <w:rPr>
          <w:rFonts w:hint="eastAsia" w:ascii="仿宋" w:hAnsi="仿宋" w:eastAsia="仿宋" w:cs="仿宋"/>
          <w:kern w:val="0"/>
          <w:sz w:val="32"/>
          <w:szCs w:val="32"/>
        </w:rPr>
        <w:t>二是主动公开政府信息的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质量和数量有待提升和增加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针对以上问题我办</w:t>
      </w:r>
      <w:r>
        <w:rPr>
          <w:rFonts w:hint="eastAsia" w:ascii="仿宋" w:hAnsi="仿宋" w:eastAsia="仿宋" w:cs="仿宋"/>
          <w:kern w:val="0"/>
          <w:sz w:val="32"/>
          <w:szCs w:val="32"/>
        </w:rPr>
        <w:t>下一步将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kern w:val="0"/>
          <w:sz w:val="32"/>
          <w:szCs w:val="32"/>
        </w:rPr>
        <w:t>完善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政务公开</w:t>
      </w:r>
      <w:r>
        <w:rPr>
          <w:rFonts w:hint="eastAsia" w:ascii="仿宋" w:hAnsi="仿宋" w:eastAsia="仿宋" w:cs="仿宋"/>
          <w:kern w:val="0"/>
          <w:sz w:val="32"/>
          <w:szCs w:val="32"/>
        </w:rPr>
        <w:t>制度机制建设，明确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各方</w:t>
      </w:r>
      <w:r>
        <w:rPr>
          <w:rFonts w:hint="eastAsia" w:ascii="仿宋" w:hAnsi="仿宋" w:eastAsia="仿宋" w:cs="仿宋"/>
          <w:kern w:val="0"/>
          <w:sz w:val="32"/>
          <w:szCs w:val="32"/>
        </w:rPr>
        <w:t>职责，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监督落实相关工作，并严把考核。以制度促发展。多开展培训多挖掘人才多吸收精华，一切依提升工作水平为中心。</w:t>
      </w:r>
    </w:p>
    <w:p>
      <w:pPr>
        <w:pStyle w:val="19"/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/>
          <w:bCs w:val="0"/>
          <w:sz w:val="32"/>
          <w:szCs w:val="32"/>
        </w:rPr>
        <w:t>六、其他需要报告的事项。</w:t>
      </w:r>
    </w:p>
    <w:p>
      <w:pPr>
        <w:pStyle w:val="19"/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本年度，我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办不</w:t>
      </w:r>
      <w:r>
        <w:rPr>
          <w:rFonts w:hint="eastAsia" w:ascii="仿宋" w:hAnsi="仿宋" w:eastAsia="仿宋" w:cs="仿宋"/>
          <w:kern w:val="0"/>
          <w:sz w:val="32"/>
          <w:szCs w:val="32"/>
        </w:rPr>
        <w:t>涉及《政府信息公开信息处理费管理办法》中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kern w:val="0"/>
          <w:sz w:val="32"/>
          <w:szCs w:val="32"/>
        </w:rPr>
        <w:t>规定的收取信息处理费情况，我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办未收取任何</w:t>
      </w:r>
      <w:r>
        <w:rPr>
          <w:rFonts w:hint="eastAsia" w:ascii="仿宋" w:hAnsi="仿宋" w:eastAsia="仿宋" w:cs="仿宋"/>
          <w:kern w:val="0"/>
          <w:sz w:val="32"/>
          <w:szCs w:val="32"/>
        </w:rPr>
        <w:t>信息公开费用。</w:t>
      </w:r>
    </w:p>
    <w:p>
      <w:pPr>
        <w:pStyle w:val="19"/>
        <w:keepNext w:val="0"/>
        <w:keepLines w:val="0"/>
        <w:widowControl/>
        <w:suppressLineNumbers w:val="0"/>
        <w:ind w:left="0" w:firstLine="48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CF14F"/>
    <w:multiLevelType w:val="singleLevel"/>
    <w:tmpl w:val="FD7CF1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jExZTQ0MjY0OWJhZTc1YTI1MjVlOTAzZTQ0ZjYifQ=="/>
  </w:docVars>
  <w:rsids>
    <w:rsidRoot w:val="00000000"/>
    <w:rsid w:val="2F0E5E6D"/>
    <w:rsid w:val="6DED1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unhideWhenUsed/>
    <w:uiPriority w:val="99"/>
  </w:style>
  <w:style w:type="table" w:default="1" w:styleId="10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2">
    <w:name w:val="16"/>
    <w:basedOn w:val="11"/>
    <w:uiPriority w:val="0"/>
    <w:rPr>
      <w:rFonts w:hint="default" w:ascii="Times New Roman" w:hAnsi="Times New Roman" w:cs="Times New Roman"/>
      <w:b/>
    </w:rPr>
  </w:style>
  <w:style w:type="character" w:customStyle="1" w:styleId="13">
    <w:name w:val="17"/>
    <w:basedOn w:val="11"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11"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11"/>
    <w:uiPriority w:val="0"/>
    <w:rPr>
      <w:rFonts w:hint="default" w:ascii="Times New Roman" w:hAnsi="Times New Roman" w:cs="Times New Roman"/>
    </w:rPr>
  </w:style>
  <w:style w:type="character" w:customStyle="1" w:styleId="16">
    <w:name w:val="18"/>
    <w:basedOn w:val="11"/>
    <w:uiPriority w:val="0"/>
    <w:rPr>
      <w:rFonts w:hint="default" w:ascii="Times New Roman" w:hAnsi="Times New Roman" w:cs="Times New Roman"/>
    </w:rPr>
  </w:style>
  <w:style w:type="character" w:customStyle="1" w:styleId="17">
    <w:name w:val="19"/>
    <w:basedOn w:val="11"/>
    <w:uiPriority w:val="0"/>
    <w:rPr>
      <w:rFonts w:hint="default" w:ascii="Times New Roman" w:hAnsi="Times New Roman" w:cs="Times New Roman"/>
    </w:rPr>
  </w:style>
  <w:style w:type="paragraph" w:customStyle="1" w:styleId="18">
    <w:name w:val="HTML 预设格式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">
    <w:name w:val="普通(网站) Char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p Char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普通(网站) Char Char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1971</Words>
  <Characters>2016</Characters>
  <Lines>1</Lines>
  <Paragraphs>1</Paragraphs>
  <TotalTime>37</TotalTime>
  <ScaleCrop>false</ScaleCrop>
  <LinksUpToDate>false</LinksUpToDate>
  <CharactersWithSpaces>2018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2023-01-18T10:08:02Z</dcterms:created>
  <dc:creator>greatwall</dc:creator>
  <cp:lastModifiedBy>Administrator</cp:lastModifiedBy>
  <dcterms:modified xsi:type="dcterms:W3CDTF">2023-01-18T11:59:52Z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01459754E8F54572BECB475CBB524610</vt:lpwstr>
  </property>
</Properties>
</file>